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60</w:t>
      </w:r>
    </w:p>
    <w:p>
      <w:r>
        <w:t>Bundesgericht (BGE), 1984-08-20, DE</w:t>
      </w:r>
    </w:p>
    <w:p>
      <w:r>
        <w:rPr>
          <w:b/>
        </w:rPr>
        <w:t xml:space="preserve">Quelle: </w:t>
      </w:r>
      <w:r>
        <w:t>https://mcp.opencaselaw.ch/entscheid/bge_110 III 60</w:t>
      </w:r>
    </w:p>
    <w:p>
      <w:r>
        <w:t>FR: ATF 110 III 60</w:t>
      </w:r>
    </w:p>
    <w:p>
      <w:r>
        <w:t>IT: DTF 110 III 60</w:t>
      </w:r>
    </w:p>
    <w:p>
      <w:pPr>
        <w:pStyle w:val="Heading2"/>
      </w:pPr>
      <w:r>
        <w:t>Regeste</w:t>
      </w:r>
    </w:p>
    <w:p>
      <w:r>
        <w:t>Regeste Widerspruchsverfahren (Art. 106 ff. SchKG). Werden Eigentums- und Pfandansprachen von verschiedenen Dritten erhoben, so können dem betreibenden Gläubiger die Fristen zur Erhebung der Klagen gegen Eigentums- und Pfandansprecher gleichzeitig angesetzt werden. Doch soll beigefügt werden, dass die Frist zur Klage gegen den Pfandansprecher erst mit dem Tage zu laufen beginnt, an welchem das gegenüber dem Eigentumsansprecher erstrittene Urteil in Rechtskraft tritt. Dem Pfandansprecher muss von dieser Art und Weise der Fristansetzung Mitteilung gemacht werden (Bestätigung der Rechtsprechung).</w:t>
      </w:r>
    </w:p>
    <w:p>
      <w:pPr>
        <w:pStyle w:val="Heading2"/>
      </w:pPr>
      <w:r>
        <w:t>Erwägungen</w:t>
      </w:r>
    </w:p>
    <w:p>
      <w:r>
        <w:rPr>
          <w:b/>
        </w:rPr>
        <w:t>E. 2</w:t>
      </w:r>
    </w:p>
    <w:p>
      <w:r>
        <w:t>a) Es steht fest und ist unbestritten, dass der den Rekurrentinnen bewilligte und am 29. November 1983 vollzogene Arrest in zweifacher Hinsicht von Dritten in Frage gestellt wird. Einerseits hat die Bank B. Verrechnungsansprüche gegenüber der von den Rekurrentinnen betriebenen Schuldnerin angemeldet und macht ein Pfandrecht geltend; anderseits hat das Unternehmen G. aufgrund einer vor dem Pfändungsvollzug erfolgten Zession Eigentumsansprache auf die gepfändeten Vermögensgegenstände erhoben. Diese beiden Ansprüche schliessen sich gegenseitig aus. Sollte die Eigentumsansprache von G. geschützt werden, so scheiden die verarrestierten Gegenstände aus dem Vermögen der betriebenen Firma O. aus. Damit verlören die Rekurrentinnen ihr Interesse an der Arrestbetreibung, und die Frage, ob die Bank B. ihre BGE 110 III 60 S. 63 Ansprüche zu Recht behauptet oder nicht, würde hinfällig. Der Umstand, dass die Bank B. ihre Ansprüche ebenso gegenüber dem Unternehmen G. wie gegenüber der Firma O. geltend machen kann, berührt die Rekurrentinnen diesfalls nicht; denn die verarrestierten Gegenstände entziehen sich - da nicht mehr zum Vermögen der Arrestschuldnerin gehörend - so oder so ihrem Zugriff. b) Art. 106 ff. SchKG sehen den Fall nicht vor, wo mehr als ein Dritter die nicht im Gewahrsam des Schuldners befindliche Sache als ihr Eigentum oder Pfand beanspruchen. Die Rechtsprechung hat deshalb hiezu eine Regel entwickelt: Dem betreibenden Gläubiger können die Fristen zur Erhebung der Klagen gegen Eigentums- und Pfandansprecher gleichzeitig angesetzt werden. Doch soll beigefügt werden, dass die Frist zur Klage gegen den Pfandansprecher erst mit dem Tage zu laufen beginnt, an welchem das gegenüber dem Eigentumsansprecher erstrittene Urteil in Rechtskraft tritt. Dem Pfandansprecher muss von dieser Art und Weise der Fristansetzung Mitteilung gemacht werden ( BGE 56 III 77 f.). Mit diesem Vorgehen soll vermieden werden, dass ein Prozess gegen den Pfandansprecher sich als nutzlos erweist, weil der Eigentumsansprecher in einem anderen Verfahren obsiegt hat mit der Folge, dass die umstrittenen Vermögensgegenstände dem betreibenden Gläubiger entzogen bleiben (vgl. auch AMONN, Grundriss des Schuldbetreibungs- und Konkursrechts, § 24 N. 56). Diese Rechtsprechung ist vom Obergericht, das sich einzig vom Bestreben nach einer beförderlichen Prozesserledigung (im beschleunigten Verfahren) hat leiten lassen, übersehen worden. Seinen Argumenten kann nicht gefolgt werden. Das Obergericht schliesst selber nicht aus, dass der über die Verrechnungs- und Pfandansprüche zu führende Prozess sistiert werden muss, bis im Beschwerdeverfahren über die Eigentumsansprache des Unternehmens G. entschieden ist. Infolgedessen wird die Betreibung auch dann nicht vorangetrieben, wenn von den Gläubigerinnen ohne Verzug die Widerspruchsklage nach Art. 109 SchKG eingeleitet wird, eine Klage, die - wie dargelegt - im Falle einer erfolgreichen Eigentumsansprache sich als unnütz erweisen würde. c) Im vorliegenden Fall drängt sich die Abnahme der Frist zur Widerspruchsklage gegen die von der Bank B. erhobenen Ansprüche um so mehr auf, als die Prozesschancen des vindizierenden Unternehmens G. vorab in verfahrensrechtlicher Hinsicht als noch völlig offen erscheinen. Die Rekurrentinnen behaupten ja, die BGE 110 III 60 S. 64 Eigentumsansprecherin sei ihrer Rechte verlustig gegangen, weil sie diese - rechtsmissbräuchlich im Sinne von BGE 109 III 18 ff. E. 1 - nicht rechtzeitig geltend gemacht habe. Diese Frage ist Gegenstand des Beschwerdeverfahrens vor der unteren kantonalen Aufsichtsbehörde. Das Obergericht anerkennt im angefochtenen Urteil selber, dass jenes Beschwerdeverfahren "von einer gewissen präjudiziellen Bedeutung" für den Prozess zwischen den Rekurrentinnen und der Bank B. sein könne. Wird in jenem Verfahren die Beschwerde gutgeheissen, so kann das Unternehmen G. seine Eigentumsansprache nicht weiterverfolgen; und es muss der Richter nur noch die Frage beantworten, ob die Verrechnungs- und Pfandansprüche, welche die Bank B. auf die - nun als Eigentum der Firma O. anerkannten - Arrestgegenstände erhebt, zu Recht bestehen. Wird umgekehrt die Beschwerde abgewiesen und damit dem Unternehmen G. die Behauptung ermöglicht, die verarrestierten Vermögensgegenstände seien dem Zugriff der Rekurrentinnen entzogen, so wird ihnen als Gläubigerinnen entsprechend der zitierten Rechtsprechung ( BGE 56 III 77 f.) nach Art. 109 SchKG Frist anzusetzen sein, um einerseits gegen die Bank B. und anderseits gegen das Unternehmen G. zu klagen. Allenfalls muss dem Unternehmen G. als Drittansprecher Frist nach Art. 107 SchKG angesetzt werden - es würde sich hier um den Fall handeln, wo die Sache sich bei einem Vierten befindet und dieser für den Schuldner besitzt ( BGE 80 III 140 f. mit Hinweis; AMONN, a.a.O., § 24 N. 27 a.E.) - sowie den Rekurrentinnen Frist nach Art. 109 SchKG , um gegen die Bank B. zu klagen. Der Fristansetzung für die Klage gegen die Bank B. wäre beizufügen, dass die Frist erst läuft, nachdem rechtskräftig über die Eigentumsansprache des Unternehmens G. entschieden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